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3" w:firstLineChars="200"/>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201</w:t>
      </w:r>
      <w:r>
        <w:rPr>
          <w:rFonts w:hint="eastAsia" w:ascii="仿宋_GB2312" w:hAnsi="宋体" w:eastAsia="仿宋_GB2312" w:cs="宋体"/>
          <w:b/>
          <w:color w:val="000000"/>
          <w:kern w:val="0"/>
          <w:sz w:val="32"/>
          <w:szCs w:val="32"/>
          <w:lang w:val="en-US" w:eastAsia="zh-CN"/>
        </w:rPr>
        <w:t>7</w:t>
      </w:r>
      <w:bookmarkStart w:id="0" w:name="_GoBack"/>
      <w:bookmarkEnd w:id="0"/>
      <w:r>
        <w:rPr>
          <w:rFonts w:hint="eastAsia" w:ascii="仿宋_GB2312" w:hAnsi="宋体" w:eastAsia="仿宋_GB2312" w:cs="宋体"/>
          <w:b/>
          <w:color w:val="000000"/>
          <w:kern w:val="0"/>
          <w:sz w:val="32"/>
          <w:szCs w:val="32"/>
        </w:rPr>
        <w:t>年校级教学改革研究项目立项名单</w:t>
      </w:r>
    </w:p>
    <w:tbl>
      <w:tblPr>
        <w:tblStyle w:val="3"/>
        <w:tblW w:w="8841" w:type="dxa"/>
        <w:jc w:val="center"/>
        <w:tblInd w:w="-63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270"/>
        <w:gridCol w:w="2053"/>
        <w:gridCol w:w="1093"/>
        <w:gridCol w:w="958"/>
        <w:gridCol w:w="957"/>
        <w:gridCol w:w="1231"/>
        <w:gridCol w:w="7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552"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270"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所在单位</w:t>
            </w:r>
          </w:p>
        </w:tc>
        <w:tc>
          <w:tcPr>
            <w:tcW w:w="2053"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项目名称</w:t>
            </w:r>
          </w:p>
        </w:tc>
        <w:tc>
          <w:tcPr>
            <w:tcW w:w="1093"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w:t>
            </w:r>
          </w:p>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编号</w:t>
            </w:r>
          </w:p>
        </w:tc>
        <w:tc>
          <w:tcPr>
            <w:tcW w:w="1915" w:type="dxa"/>
            <w:gridSpan w:val="2"/>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项目主持人</w:t>
            </w:r>
          </w:p>
        </w:tc>
        <w:tc>
          <w:tcPr>
            <w:tcW w:w="1231"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项目其他完成人</w:t>
            </w:r>
          </w:p>
        </w:tc>
        <w:tc>
          <w:tcPr>
            <w:tcW w:w="727"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项目级别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552"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1270"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2053"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1093" w:type="dxa"/>
            <w:vMerge w:val="continue"/>
          </w:tcPr>
          <w:p>
            <w:pPr>
              <w:widowControl/>
              <w:spacing w:before="156" w:beforeLines="50" w:after="156" w:afterLines="50" w:line="0" w:lineRule="atLeast"/>
              <w:jc w:val="center"/>
              <w:rPr>
                <w:rFonts w:ascii="仿宋_GB2312" w:hAnsi="宋体" w:eastAsia="仿宋_GB2312" w:cs="宋体"/>
                <w:b/>
                <w:kern w:val="0"/>
                <w:sz w:val="24"/>
              </w:rPr>
            </w:pPr>
          </w:p>
        </w:tc>
        <w:tc>
          <w:tcPr>
            <w:tcW w:w="958" w:type="dxa"/>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姓名</w:t>
            </w:r>
          </w:p>
        </w:tc>
        <w:tc>
          <w:tcPr>
            <w:tcW w:w="957" w:type="dxa"/>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职称</w:t>
            </w:r>
          </w:p>
        </w:tc>
        <w:tc>
          <w:tcPr>
            <w:tcW w:w="1231"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727"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3" w:hRule="atLeast"/>
          <w:jc w:val="center"/>
        </w:trPr>
        <w:tc>
          <w:tcPr>
            <w:tcW w:w="552" w:type="dxa"/>
            <w:shd w:val="clear" w:color="auto" w:fill="auto"/>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70" w:type="dxa"/>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经外学院</w:t>
            </w:r>
          </w:p>
        </w:tc>
        <w:tc>
          <w:tcPr>
            <w:tcW w:w="2053"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慕课平台下大学英语混合式教学模式研究</w:t>
            </w:r>
          </w:p>
        </w:tc>
        <w:tc>
          <w:tcPr>
            <w:tcW w:w="1093" w:type="dxa"/>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Z01</w:t>
            </w:r>
          </w:p>
        </w:tc>
        <w:tc>
          <w:tcPr>
            <w:tcW w:w="958"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喻育芸　</w:t>
            </w:r>
          </w:p>
        </w:tc>
        <w:tc>
          <w:tcPr>
            <w:tcW w:w="957"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　</w:t>
            </w:r>
          </w:p>
        </w:tc>
        <w:tc>
          <w:tcPr>
            <w:tcW w:w="1231"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黄萍、王志华、朱燕、张静</w:t>
            </w:r>
          </w:p>
        </w:tc>
        <w:tc>
          <w:tcPr>
            <w:tcW w:w="727" w:type="dxa"/>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重点项目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0" w:type="dxa"/>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经外学院</w:t>
            </w:r>
          </w:p>
        </w:tc>
        <w:tc>
          <w:tcPr>
            <w:tcW w:w="2053"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学分制下翻转课堂模式在大学英语教学中的应用及多元评价体系的构建　</w:t>
            </w:r>
          </w:p>
        </w:tc>
        <w:tc>
          <w:tcPr>
            <w:tcW w:w="109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Z02</w:t>
            </w:r>
          </w:p>
        </w:tc>
        <w:tc>
          <w:tcPr>
            <w:tcW w:w="958"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张静　</w:t>
            </w:r>
          </w:p>
        </w:tc>
        <w:tc>
          <w:tcPr>
            <w:tcW w:w="957"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　</w:t>
            </w:r>
          </w:p>
        </w:tc>
        <w:tc>
          <w:tcPr>
            <w:tcW w:w="1231"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宋体"/>
                <w:kern w:val="0"/>
                <w:sz w:val="24"/>
              </w:rPr>
              <w:t>程莹</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黄欣</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李胡晓</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王昭昭</w:t>
            </w:r>
          </w:p>
        </w:tc>
        <w:tc>
          <w:tcPr>
            <w:tcW w:w="727"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重点项目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jc w:val="center"/>
        </w:trPr>
        <w:tc>
          <w:tcPr>
            <w:tcW w:w="552" w:type="dxa"/>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物流学院</w:t>
            </w:r>
          </w:p>
        </w:tc>
        <w:tc>
          <w:tcPr>
            <w:tcW w:w="205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基于应用型物流人才能力培养的实验教学体系研究　</w:t>
            </w:r>
          </w:p>
        </w:tc>
        <w:tc>
          <w:tcPr>
            <w:tcW w:w="1093"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Z03</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周小芬</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　</w:t>
            </w:r>
          </w:p>
        </w:tc>
        <w:tc>
          <w:tcPr>
            <w:tcW w:w="1231"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王勇、朱姝帆、朱荣艳、李冰冰</w:t>
            </w:r>
          </w:p>
        </w:tc>
        <w:tc>
          <w:tcPr>
            <w:tcW w:w="727" w:type="dxa"/>
            <w:tcBorders>
              <w:top w:val="single" w:color="auto" w:sz="6" w:space="0"/>
              <w:left w:val="single" w:color="auto" w:sz="6" w:space="0"/>
              <w:bottom w:val="single" w:color="auto" w:sz="6" w:space="0"/>
              <w:right w:val="double" w:color="auto" w:sz="4" w:space="0"/>
            </w:tcBorders>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重点项目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9" w:hRule="atLeast"/>
          <w:jc w:val="center"/>
        </w:trPr>
        <w:tc>
          <w:tcPr>
            <w:tcW w:w="552" w:type="dxa"/>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艺术与设计学院</w:t>
            </w:r>
          </w:p>
        </w:tc>
        <w:tc>
          <w:tcPr>
            <w:tcW w:w="205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 xml:space="preserve">“MOOCs”模式下的高校在线视频课程教学改革研究——以《图形创意》为例    </w:t>
            </w:r>
          </w:p>
        </w:tc>
        <w:tc>
          <w:tcPr>
            <w:tcW w:w="1093" w:type="dxa"/>
            <w:tcBorders>
              <w:top w:val="single" w:color="auto" w:sz="6" w:space="0"/>
              <w:left w:val="single" w:color="auto" w:sz="6" w:space="0"/>
              <w:bottom w:val="single" w:color="auto" w:sz="6" w:space="0"/>
              <w:right w:val="single" w:color="auto" w:sz="6" w:space="0"/>
            </w:tcBorders>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Z04</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赵莹　</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w:t>
            </w:r>
          </w:p>
        </w:tc>
        <w:tc>
          <w:tcPr>
            <w:tcW w:w="1231"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after="156" w:afterLines="50" w:line="0" w:lineRule="atLeast"/>
              <w:rPr>
                <w:rFonts w:ascii="仿宋_GB2312" w:hAnsi="宋体" w:eastAsia="仿宋_GB2312" w:cs="宋体"/>
                <w:kern w:val="0"/>
                <w:sz w:val="24"/>
              </w:rPr>
            </w:pPr>
            <w:r>
              <w:rPr>
                <w:rFonts w:hint="eastAsia" w:ascii="仿宋_GB2312" w:hAnsi="宋体" w:eastAsia="仿宋_GB2312" w:cs="宋体"/>
                <w:kern w:val="0"/>
                <w:sz w:val="24"/>
              </w:rPr>
              <w:t>何轩、程奇、阮晶、王海文</w:t>
            </w:r>
          </w:p>
        </w:tc>
        <w:tc>
          <w:tcPr>
            <w:tcW w:w="727" w:type="dxa"/>
            <w:tcBorders>
              <w:top w:val="single" w:color="auto" w:sz="6" w:space="0"/>
              <w:left w:val="single" w:color="auto" w:sz="6" w:space="0"/>
              <w:bottom w:val="single" w:color="auto" w:sz="6" w:space="0"/>
              <w:right w:val="double" w:color="auto" w:sz="4" w:space="0"/>
            </w:tcBorders>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重点项目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16"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环生学院</w:t>
            </w:r>
          </w:p>
        </w:tc>
        <w:tc>
          <w:tcPr>
            <w:tcW w:w="2053"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以专业能力素质为导向的地方性本科院校实践教学体系的研究与实践</w:t>
            </w:r>
          </w:p>
        </w:tc>
        <w:tc>
          <w:tcPr>
            <w:tcW w:w="109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Z05</w:t>
            </w:r>
          </w:p>
        </w:tc>
        <w:tc>
          <w:tcPr>
            <w:tcW w:w="958"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吕凯波</w:t>
            </w:r>
          </w:p>
        </w:tc>
        <w:tc>
          <w:tcPr>
            <w:tcW w:w="957"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Style w:val="4"/>
                <w:rFonts w:hAnsi="宋体"/>
                <w:lang w:val="en-US" w:eastAsia="zh-CN" w:bidi="ar"/>
              </w:rPr>
              <w:t>副教授</w:t>
            </w:r>
          </w:p>
        </w:tc>
        <w:tc>
          <w:tcPr>
            <w:tcW w:w="1231" w:type="dxa"/>
            <w:shd w:val="clear" w:color="auto" w:fill="auto"/>
            <w:vAlign w:val="center"/>
          </w:tcPr>
          <w:p>
            <w:pPr>
              <w:keepNext w:val="0"/>
              <w:keepLines w:val="0"/>
              <w:widowControl/>
              <w:suppressLineNumbers w:val="0"/>
              <w:jc w:val="both"/>
              <w:textAlignment w:val="center"/>
              <w:rPr>
                <w:rFonts w:ascii="仿宋_GB2312" w:hAnsi="宋体" w:eastAsia="仿宋_GB2312" w:cs="宋体"/>
                <w:kern w:val="0"/>
                <w:sz w:val="24"/>
              </w:rPr>
            </w:pPr>
            <w:r>
              <w:rPr>
                <w:rFonts w:hint="eastAsia" w:ascii="仿宋_GB2312" w:hAnsi="宋体" w:eastAsia="仿宋_GB2312" w:cs="宋体"/>
                <w:kern w:val="0"/>
                <w:sz w:val="24"/>
              </w:rPr>
              <w:t>乐薇、韦琴、柯斌清、杨立、龚乃超</w:t>
            </w:r>
          </w:p>
        </w:tc>
        <w:tc>
          <w:tcPr>
            <w:tcW w:w="727"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重点项目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8"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公共基础课部</w:t>
            </w:r>
          </w:p>
        </w:tc>
        <w:tc>
          <w:tcPr>
            <w:tcW w:w="2053"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2"/>
                <w:szCs w:val="22"/>
                <w:u w:val="none"/>
                <w:lang w:val="en-US" w:eastAsia="zh-CN" w:bidi="ar"/>
              </w:rPr>
              <w:t>湖北历史文化资源及省情在高校思政课实践教学中的应用</w:t>
            </w:r>
          </w:p>
        </w:tc>
        <w:tc>
          <w:tcPr>
            <w:tcW w:w="1093" w:type="dxa"/>
            <w:vAlign w:val="center"/>
          </w:tcPr>
          <w:p>
            <w:pPr>
              <w:widowControl/>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Z06</w:t>
            </w:r>
          </w:p>
        </w:tc>
        <w:tc>
          <w:tcPr>
            <w:tcW w:w="958"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涂婷</w:t>
            </w:r>
          </w:p>
        </w:tc>
        <w:tc>
          <w:tcPr>
            <w:tcW w:w="957"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讲师　</w:t>
            </w:r>
          </w:p>
        </w:tc>
        <w:tc>
          <w:tcPr>
            <w:tcW w:w="1231" w:type="dxa"/>
            <w:shd w:val="clear" w:color="auto" w:fill="auto"/>
            <w:vAlign w:val="center"/>
          </w:tcPr>
          <w:p>
            <w:pPr>
              <w:keepNext w:val="0"/>
              <w:keepLines w:val="0"/>
              <w:widowControl/>
              <w:suppressLineNumbers w:val="0"/>
              <w:jc w:val="both"/>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狄奥、艾萍、冯菲、张玉平　</w:t>
            </w:r>
          </w:p>
        </w:tc>
        <w:tc>
          <w:tcPr>
            <w:tcW w:w="727" w:type="dxa"/>
            <w:vAlign w:val="center"/>
          </w:tcPr>
          <w:p>
            <w:pPr>
              <w:widowControl/>
              <w:spacing w:line="0" w:lineRule="atLeast"/>
              <w:jc w:val="center"/>
              <w:rPr>
                <w:rFonts w:ascii="仿宋_GB2312" w:hAnsi="仿宋_GB2312" w:eastAsia="仿宋_GB2312" w:cs="仿宋_GB2312"/>
                <w:kern w:val="0"/>
                <w:sz w:val="24"/>
              </w:rPr>
            </w:pPr>
            <w:r>
              <w:rPr>
                <w:rFonts w:hint="eastAsia" w:ascii="仿宋_GB2312" w:hAnsi="宋体" w:eastAsia="仿宋_GB2312" w:cs="宋体"/>
                <w:kern w:val="0"/>
                <w:sz w:val="24"/>
              </w:rPr>
              <w:t>重点项目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18" w:hRule="atLeast"/>
          <w:jc w:val="center"/>
        </w:trPr>
        <w:tc>
          <w:tcPr>
            <w:tcW w:w="552" w:type="dxa"/>
            <w:shd w:val="clear" w:color="auto" w:fill="auto"/>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管理学院</w:t>
            </w:r>
          </w:p>
        </w:tc>
        <w:tc>
          <w:tcPr>
            <w:tcW w:w="2053"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基于微课视角下的“翻转课堂” 在财务会计实验课程中的应用研究</w:t>
            </w:r>
          </w:p>
        </w:tc>
        <w:tc>
          <w:tcPr>
            <w:tcW w:w="1093" w:type="dxa"/>
            <w:vAlign w:val="center"/>
          </w:tcPr>
          <w:p>
            <w:pPr>
              <w:widowControl/>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w:t>
            </w:r>
            <w:r>
              <w:rPr>
                <w:rFonts w:hint="eastAsia" w:ascii="仿宋_GB2312" w:hAnsi="仿宋_GB2312" w:eastAsia="仿宋_GB2312" w:cs="仿宋_GB2312"/>
                <w:kern w:val="0"/>
                <w:sz w:val="24"/>
                <w:lang w:val="en-US" w:eastAsia="zh-CN"/>
              </w:rPr>
              <w:t>7Y</w:t>
            </w: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1</w:t>
            </w:r>
          </w:p>
        </w:tc>
        <w:tc>
          <w:tcPr>
            <w:tcW w:w="958"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王颖娟</w:t>
            </w:r>
          </w:p>
        </w:tc>
        <w:tc>
          <w:tcPr>
            <w:tcW w:w="957"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讲师</w:t>
            </w:r>
          </w:p>
        </w:tc>
        <w:tc>
          <w:tcPr>
            <w:tcW w:w="1231" w:type="dxa"/>
            <w:shd w:val="clear" w:color="auto" w:fill="auto"/>
            <w:vAlign w:val="center"/>
          </w:tcPr>
          <w:p>
            <w:pPr>
              <w:keepNext w:val="0"/>
              <w:keepLines w:val="0"/>
              <w:widowControl/>
              <w:suppressLineNumbers w:val="0"/>
              <w:jc w:val="both"/>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聂新田、金宏莉、朱逢念、张玮</w:t>
            </w:r>
          </w:p>
        </w:tc>
        <w:tc>
          <w:tcPr>
            <w:tcW w:w="727" w:type="dxa"/>
            <w:vAlign w:val="center"/>
          </w:tcPr>
          <w:p>
            <w:pPr>
              <w:widowControl/>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一般</w:t>
            </w:r>
            <w:r>
              <w:rPr>
                <w:rFonts w:hint="eastAsia" w:ascii="仿宋_GB2312" w:hAnsi="仿宋_GB2312" w:eastAsia="仿宋_GB2312" w:cs="仿宋_GB2312"/>
                <w:kern w:val="0"/>
                <w:sz w:val="24"/>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65"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1270" w:type="dxa"/>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物流学院</w:t>
            </w:r>
          </w:p>
        </w:tc>
        <w:tc>
          <w:tcPr>
            <w:tcW w:w="2053"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创业视角下应用型大学物流专业课程体系及培养模式创新研究</w:t>
            </w:r>
          </w:p>
        </w:tc>
        <w:tc>
          <w:tcPr>
            <w:tcW w:w="1093" w:type="dxa"/>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Y0</w:t>
            </w:r>
            <w:r>
              <w:rPr>
                <w:rFonts w:hint="eastAsia" w:ascii="仿宋_GB2312" w:hAnsi="宋体" w:eastAsia="仿宋_GB2312" w:cs="宋体"/>
                <w:kern w:val="0"/>
                <w:sz w:val="24"/>
                <w:lang w:val="en-US" w:eastAsia="zh-CN"/>
              </w:rPr>
              <w:t>2</w:t>
            </w:r>
          </w:p>
        </w:tc>
        <w:tc>
          <w:tcPr>
            <w:tcW w:w="958"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李冰冰</w:t>
            </w:r>
          </w:p>
        </w:tc>
        <w:tc>
          <w:tcPr>
            <w:tcW w:w="957"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w:t>
            </w:r>
          </w:p>
        </w:tc>
        <w:tc>
          <w:tcPr>
            <w:tcW w:w="1231"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王勇，邢赛鹏，朱荣艳，周小芬</w:t>
            </w:r>
          </w:p>
        </w:tc>
        <w:tc>
          <w:tcPr>
            <w:tcW w:w="727" w:type="dxa"/>
            <w:vAlign w:val="center"/>
          </w:tcPr>
          <w:p>
            <w:pPr>
              <w:widowControl/>
              <w:spacing w:line="0" w:lineRule="atLeast"/>
              <w:jc w:val="center"/>
              <w:rPr>
                <w:rFonts w:ascii="仿宋_GB2312" w:hAnsi="宋体" w:eastAsia="仿宋_GB2312" w:cs="宋体"/>
                <w:kern w:val="0"/>
                <w:sz w:val="24"/>
              </w:rPr>
            </w:pPr>
            <w:r>
              <w:rPr>
                <w:rFonts w:hint="eastAsia" w:ascii="仿宋_GB2312" w:hAnsi="仿宋_GB2312" w:eastAsia="仿宋_GB2312" w:cs="仿宋_GB2312"/>
                <w:kern w:val="0"/>
                <w:sz w:val="24"/>
                <w:lang w:val="en-US" w:eastAsia="zh-CN"/>
              </w:rPr>
              <w:t>一般</w:t>
            </w:r>
            <w:r>
              <w:rPr>
                <w:rFonts w:hint="eastAsia" w:ascii="仿宋_GB2312" w:hAnsi="仿宋_GB2312" w:eastAsia="仿宋_GB2312" w:cs="仿宋_GB2312"/>
                <w:kern w:val="0"/>
                <w:sz w:val="24"/>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552"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270"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所在单位</w:t>
            </w:r>
          </w:p>
        </w:tc>
        <w:tc>
          <w:tcPr>
            <w:tcW w:w="2053"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项目名称</w:t>
            </w:r>
          </w:p>
        </w:tc>
        <w:tc>
          <w:tcPr>
            <w:tcW w:w="1093"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w:t>
            </w:r>
          </w:p>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编号</w:t>
            </w:r>
          </w:p>
        </w:tc>
        <w:tc>
          <w:tcPr>
            <w:tcW w:w="1915" w:type="dxa"/>
            <w:gridSpan w:val="2"/>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项目主持人</w:t>
            </w:r>
          </w:p>
        </w:tc>
        <w:tc>
          <w:tcPr>
            <w:tcW w:w="1231"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项目其他完成人</w:t>
            </w:r>
          </w:p>
        </w:tc>
        <w:tc>
          <w:tcPr>
            <w:tcW w:w="727" w:type="dxa"/>
            <w:vMerge w:val="restart"/>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项目级别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552"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1270"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2053"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1093" w:type="dxa"/>
            <w:vMerge w:val="continue"/>
          </w:tcPr>
          <w:p>
            <w:pPr>
              <w:widowControl/>
              <w:spacing w:before="156" w:beforeLines="50" w:after="156" w:afterLines="50" w:line="0" w:lineRule="atLeast"/>
              <w:jc w:val="center"/>
              <w:rPr>
                <w:rFonts w:ascii="仿宋_GB2312" w:hAnsi="宋体" w:eastAsia="仿宋_GB2312" w:cs="宋体"/>
                <w:b/>
                <w:kern w:val="0"/>
                <w:sz w:val="24"/>
              </w:rPr>
            </w:pPr>
          </w:p>
        </w:tc>
        <w:tc>
          <w:tcPr>
            <w:tcW w:w="958" w:type="dxa"/>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姓名</w:t>
            </w:r>
          </w:p>
        </w:tc>
        <w:tc>
          <w:tcPr>
            <w:tcW w:w="957" w:type="dxa"/>
            <w:vAlign w:val="center"/>
          </w:tcPr>
          <w:p>
            <w:pPr>
              <w:widowControl/>
              <w:spacing w:before="156" w:beforeLines="50" w:after="156" w:afterLines="50"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职称</w:t>
            </w:r>
          </w:p>
        </w:tc>
        <w:tc>
          <w:tcPr>
            <w:tcW w:w="1231"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c>
          <w:tcPr>
            <w:tcW w:w="727" w:type="dxa"/>
            <w:vMerge w:val="continue"/>
            <w:vAlign w:val="center"/>
          </w:tcPr>
          <w:p>
            <w:pPr>
              <w:widowControl/>
              <w:spacing w:before="156" w:beforeLines="50" w:after="156" w:afterLines="50" w:line="0" w:lineRule="atLeast"/>
              <w:jc w:val="center"/>
              <w:rPr>
                <w:rFonts w:ascii="仿宋_GB2312" w:hAnsi="宋体" w:eastAsia="仿宋_GB2312"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文法学院</w:t>
            </w:r>
          </w:p>
        </w:tc>
        <w:tc>
          <w:tcPr>
            <w:tcW w:w="2053"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苏格拉底教学法运用于刑事诉讼法案例专项实训的教学改革实践研究　</w:t>
            </w:r>
          </w:p>
        </w:tc>
        <w:tc>
          <w:tcPr>
            <w:tcW w:w="1093" w:type="dxa"/>
            <w:vAlign w:val="center"/>
          </w:tcPr>
          <w:p>
            <w:pPr>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Y03</w:t>
            </w:r>
          </w:p>
        </w:tc>
        <w:tc>
          <w:tcPr>
            <w:tcW w:w="958"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郑承华</w:t>
            </w:r>
          </w:p>
        </w:tc>
        <w:tc>
          <w:tcPr>
            <w:tcW w:w="957"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副教授</w:t>
            </w:r>
          </w:p>
        </w:tc>
        <w:tc>
          <w:tcPr>
            <w:tcW w:w="1231"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易玲、华丽娜</w:t>
            </w:r>
          </w:p>
        </w:tc>
        <w:tc>
          <w:tcPr>
            <w:tcW w:w="727" w:type="dxa"/>
            <w:vAlign w:val="center"/>
          </w:tcPr>
          <w:p>
            <w:pPr>
              <w:widowControl/>
              <w:spacing w:before="156" w:beforeLines="50" w:after="156" w:afterLines="50" w:line="0" w:lineRule="atLeast"/>
              <w:jc w:val="center"/>
              <w:rPr>
                <w:rFonts w:ascii="仿宋_GB2312" w:hAnsi="仿宋_GB2312" w:eastAsia="仿宋_GB2312" w:cs="仿宋_GB2312"/>
                <w:kern w:val="0"/>
                <w:sz w:val="24"/>
              </w:rPr>
            </w:pPr>
            <w:r>
              <w:rPr>
                <w:rFonts w:hint="eastAsia" w:ascii="仿宋_GB2312" w:hAnsi="宋体" w:eastAsia="仿宋_GB2312" w:cs="宋体"/>
                <w:kern w:val="0"/>
                <w:sz w:val="24"/>
              </w:rPr>
              <w:t>一般项目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文法学院</w:t>
            </w:r>
          </w:p>
        </w:tc>
        <w:tc>
          <w:tcPr>
            <w:tcW w:w="2053"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项目驱动下视角下新闻学专业实训课程考核方案的优化与实践　</w:t>
            </w:r>
          </w:p>
        </w:tc>
        <w:tc>
          <w:tcPr>
            <w:tcW w:w="1093" w:type="dxa"/>
            <w:vAlign w:val="center"/>
          </w:tcPr>
          <w:p>
            <w:pPr>
              <w:spacing w:line="0" w:lineRule="atLeast"/>
              <w:jc w:val="center"/>
              <w:rPr>
                <w:rFonts w:ascii="仿宋_GB2312" w:hAnsi="仿宋_GB2312" w:eastAsia="仿宋_GB2312" w:cs="仿宋_GB2312"/>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Y04</w:t>
            </w:r>
          </w:p>
        </w:tc>
        <w:tc>
          <w:tcPr>
            <w:tcW w:w="958"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李佩佩</w:t>
            </w:r>
          </w:p>
        </w:tc>
        <w:tc>
          <w:tcPr>
            <w:tcW w:w="957"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讲师</w:t>
            </w:r>
          </w:p>
        </w:tc>
        <w:tc>
          <w:tcPr>
            <w:tcW w:w="1231"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吴洪霞、亢海玲、汪明香</w:t>
            </w:r>
          </w:p>
        </w:tc>
        <w:tc>
          <w:tcPr>
            <w:tcW w:w="727" w:type="dxa"/>
            <w:vAlign w:val="center"/>
          </w:tcPr>
          <w:p>
            <w:pPr>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1270"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艺术与设计学院</w:t>
            </w:r>
          </w:p>
        </w:tc>
        <w:tc>
          <w:tcPr>
            <w:tcW w:w="2053"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游戏美术专业项目实训课程模块教学改革研究　</w:t>
            </w:r>
          </w:p>
        </w:tc>
        <w:tc>
          <w:tcPr>
            <w:tcW w:w="109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Y05</w:t>
            </w:r>
          </w:p>
        </w:tc>
        <w:tc>
          <w:tcPr>
            <w:tcW w:w="958"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周全　</w:t>
            </w:r>
          </w:p>
        </w:tc>
        <w:tc>
          <w:tcPr>
            <w:tcW w:w="957"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　</w:t>
            </w:r>
          </w:p>
        </w:tc>
        <w:tc>
          <w:tcPr>
            <w:tcW w:w="1231"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何彦彦、胡鲲、徐慧　</w:t>
            </w:r>
          </w:p>
        </w:tc>
        <w:tc>
          <w:tcPr>
            <w:tcW w:w="727"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3"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信息工程学院</w:t>
            </w:r>
          </w:p>
        </w:tc>
        <w:tc>
          <w:tcPr>
            <w:tcW w:w="2053"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“互联网+”时代下的移动信息化教学模式研究——以软件设计类课程为例</w:t>
            </w:r>
          </w:p>
        </w:tc>
        <w:tc>
          <w:tcPr>
            <w:tcW w:w="109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201</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Y06</w:t>
            </w:r>
          </w:p>
        </w:tc>
        <w:tc>
          <w:tcPr>
            <w:tcW w:w="958"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张婷　</w:t>
            </w:r>
          </w:p>
        </w:tc>
        <w:tc>
          <w:tcPr>
            <w:tcW w:w="957"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w:t>
            </w:r>
          </w:p>
        </w:tc>
        <w:tc>
          <w:tcPr>
            <w:tcW w:w="1231"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李娟、胡成松、刘白、孙宝林　</w:t>
            </w:r>
          </w:p>
        </w:tc>
        <w:tc>
          <w:tcPr>
            <w:tcW w:w="727"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1" w:hRule="atLeast"/>
          <w:jc w:val="center"/>
        </w:trPr>
        <w:tc>
          <w:tcPr>
            <w:tcW w:w="552" w:type="dxa"/>
            <w:shd w:val="clear" w:color="auto" w:fill="auto"/>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信息工程学院</w:t>
            </w:r>
          </w:p>
        </w:tc>
        <w:tc>
          <w:tcPr>
            <w:tcW w:w="2053"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基于“新工科”视角的物联网工程专业课程体系构建研究</w:t>
            </w:r>
          </w:p>
        </w:tc>
        <w:tc>
          <w:tcPr>
            <w:tcW w:w="1093" w:type="dxa"/>
            <w:vAlign w:val="center"/>
          </w:tcPr>
          <w:p>
            <w:pPr>
              <w:widowControl/>
              <w:spacing w:line="0" w:lineRule="atLeast"/>
              <w:jc w:val="center"/>
              <w:rPr>
                <w:rFonts w:ascii="仿宋_GB2312" w:hAnsi="宋体" w:eastAsia="仿宋_GB2312" w:cs="宋体"/>
                <w:kern w:val="0"/>
                <w:sz w:val="24"/>
              </w:rPr>
            </w:pPr>
            <w:r>
              <w:rPr>
                <w:rFonts w:hint="eastAsia" w:ascii="仿宋_GB2312" w:hAnsi="仿宋_GB2312" w:eastAsia="仿宋_GB2312" w:cs="仿宋_GB2312"/>
                <w:kern w:val="0"/>
                <w:sz w:val="24"/>
              </w:rPr>
              <w:t>201</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Y07</w:t>
            </w:r>
          </w:p>
        </w:tc>
        <w:tc>
          <w:tcPr>
            <w:tcW w:w="958"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李凤麟</w:t>
            </w:r>
          </w:p>
        </w:tc>
        <w:tc>
          <w:tcPr>
            <w:tcW w:w="957" w:type="dxa"/>
            <w:shd w:val="clear" w:color="auto" w:fill="auto"/>
            <w:vAlign w:val="center"/>
          </w:tcPr>
          <w:p>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讲师</w:t>
            </w:r>
          </w:p>
        </w:tc>
        <w:tc>
          <w:tcPr>
            <w:tcW w:w="1231" w:type="dxa"/>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仿宋_GB2312" w:hAnsi="宋体" w:eastAsia="仿宋_GB2312" w:cs="仿宋_GB2312"/>
                <w:i w:val="0"/>
                <w:color w:val="000000"/>
                <w:kern w:val="0"/>
                <w:sz w:val="24"/>
                <w:szCs w:val="24"/>
                <w:u w:val="none"/>
                <w:lang w:val="en-US" w:eastAsia="zh-CN" w:bidi="ar"/>
              </w:rPr>
              <w:t>刘芳、王巍、肖诗松、陈瑶</w:t>
            </w:r>
          </w:p>
        </w:tc>
        <w:tc>
          <w:tcPr>
            <w:tcW w:w="727"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52" w:type="dxa"/>
            <w:shd w:val="clear" w:color="auto" w:fill="auto"/>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环境与生物工程学院</w:t>
            </w:r>
          </w:p>
        </w:tc>
        <w:tc>
          <w:tcPr>
            <w:tcW w:w="2053"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发酵工程与酶工程学科体系试题库的建立</w:t>
            </w:r>
          </w:p>
        </w:tc>
        <w:tc>
          <w:tcPr>
            <w:tcW w:w="1093" w:type="dxa"/>
            <w:vAlign w:val="center"/>
          </w:tcPr>
          <w:p>
            <w:pPr>
              <w:widowControl/>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Y08</w:t>
            </w:r>
          </w:p>
        </w:tc>
        <w:tc>
          <w:tcPr>
            <w:tcW w:w="958"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杨立　</w:t>
            </w:r>
          </w:p>
        </w:tc>
        <w:tc>
          <w:tcPr>
            <w:tcW w:w="957"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讲师</w:t>
            </w:r>
          </w:p>
        </w:tc>
        <w:tc>
          <w:tcPr>
            <w:tcW w:w="1231"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吴士筠、吕凯波、韦琴、柯斌清　</w:t>
            </w:r>
          </w:p>
        </w:tc>
        <w:tc>
          <w:tcPr>
            <w:tcW w:w="727" w:type="dxa"/>
            <w:vAlign w:val="center"/>
          </w:tcPr>
          <w:p>
            <w:pPr>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jc w:val="center"/>
        </w:trPr>
        <w:tc>
          <w:tcPr>
            <w:tcW w:w="552" w:type="dxa"/>
            <w:shd w:val="clear" w:color="auto" w:fill="auto"/>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公共基础课部</w:t>
            </w:r>
          </w:p>
        </w:tc>
        <w:tc>
          <w:tcPr>
            <w:tcW w:w="2053"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输出驱动假设对少数民族学生英语能力培养研究　</w:t>
            </w:r>
          </w:p>
        </w:tc>
        <w:tc>
          <w:tcPr>
            <w:tcW w:w="1093" w:type="dxa"/>
            <w:vAlign w:val="center"/>
          </w:tcPr>
          <w:p>
            <w:pPr>
              <w:widowControl/>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Y09</w:t>
            </w:r>
          </w:p>
        </w:tc>
        <w:tc>
          <w:tcPr>
            <w:tcW w:w="958"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高艳梅　</w:t>
            </w:r>
          </w:p>
        </w:tc>
        <w:tc>
          <w:tcPr>
            <w:tcW w:w="957"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讲师　</w:t>
            </w:r>
          </w:p>
        </w:tc>
        <w:tc>
          <w:tcPr>
            <w:tcW w:w="1231"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马洁、金娟、王凤娟　</w:t>
            </w:r>
          </w:p>
        </w:tc>
        <w:tc>
          <w:tcPr>
            <w:tcW w:w="727"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4" w:hRule="atLeast"/>
          <w:jc w:val="center"/>
        </w:trPr>
        <w:tc>
          <w:tcPr>
            <w:tcW w:w="552" w:type="dxa"/>
            <w:shd w:val="clear" w:color="auto" w:fill="auto"/>
            <w:vAlign w:val="center"/>
          </w:tcPr>
          <w:p>
            <w:pPr>
              <w:widowControl/>
              <w:spacing w:before="156" w:beforeLines="50" w:after="156" w:afterLines="50"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1270"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实验中心</w:t>
            </w:r>
          </w:p>
        </w:tc>
        <w:tc>
          <w:tcPr>
            <w:tcW w:w="2053"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虚拟化网络在实验教学中的安全设计　 　</w:t>
            </w:r>
          </w:p>
        </w:tc>
        <w:tc>
          <w:tcPr>
            <w:tcW w:w="1093" w:type="dxa"/>
            <w:vAlign w:val="center"/>
          </w:tcPr>
          <w:p>
            <w:pPr>
              <w:widowControl/>
              <w:spacing w:line="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Y</w:t>
            </w:r>
            <w:r>
              <w:rPr>
                <w:rFonts w:hint="eastAsia" w:ascii="仿宋_GB2312" w:hAnsi="仿宋_GB2312" w:eastAsia="仿宋_GB2312" w:cs="仿宋_GB2312"/>
                <w:kern w:val="0"/>
                <w:sz w:val="24"/>
                <w:lang w:val="en-US" w:eastAsia="zh-CN"/>
              </w:rPr>
              <w:t>10</w:t>
            </w:r>
          </w:p>
        </w:tc>
        <w:tc>
          <w:tcPr>
            <w:tcW w:w="958"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吕君　</w:t>
            </w:r>
          </w:p>
        </w:tc>
        <w:tc>
          <w:tcPr>
            <w:tcW w:w="957" w:type="dxa"/>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实验师　</w:t>
            </w:r>
          </w:p>
        </w:tc>
        <w:tc>
          <w:tcPr>
            <w:tcW w:w="1231" w:type="dxa"/>
            <w:shd w:val="clear" w:color="auto" w:fill="auto"/>
            <w:vAlign w:val="center"/>
          </w:tcPr>
          <w:p>
            <w:pPr>
              <w:keepNext w:val="0"/>
              <w:keepLines w:val="0"/>
              <w:widowControl/>
              <w:suppressLineNumbers w:val="0"/>
              <w:jc w:val="left"/>
              <w:textAlignment w:val="center"/>
              <w:rPr>
                <w:rFonts w:ascii="仿宋_GB2312" w:hAnsi="仿宋_GB2312" w:eastAsia="仿宋_GB2312" w:cs="仿宋_GB2312"/>
                <w:kern w:val="0"/>
                <w:sz w:val="24"/>
              </w:rPr>
            </w:pPr>
            <w:r>
              <w:rPr>
                <w:rFonts w:hint="eastAsia" w:ascii="仿宋_GB2312" w:hAnsi="宋体" w:eastAsia="仿宋_GB2312" w:cs="仿宋_GB2312"/>
                <w:i w:val="0"/>
                <w:color w:val="000000"/>
                <w:kern w:val="0"/>
                <w:sz w:val="24"/>
                <w:szCs w:val="24"/>
                <w:u w:val="none"/>
                <w:lang w:val="en-US" w:eastAsia="zh-CN" w:bidi="ar"/>
              </w:rPr>
              <w:t>朱剑玫、夏宏雷、王志华</w:t>
            </w:r>
          </w:p>
        </w:tc>
        <w:tc>
          <w:tcPr>
            <w:tcW w:w="727"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一般项目</w:t>
            </w:r>
          </w:p>
        </w:tc>
      </w:tr>
    </w:tbl>
    <w:p>
      <w:pPr>
        <w:widowControl/>
        <w:spacing w:line="560" w:lineRule="exact"/>
        <w:jc w:val="center"/>
        <w:rPr>
          <w:rFonts w:ascii="仿宋_GB2312" w:hAnsi="宋体" w:eastAsia="仿宋_GB2312" w:cs="宋体"/>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B8"/>
    <w:rsid w:val="00023010"/>
    <w:rsid w:val="000D415A"/>
    <w:rsid w:val="003F1570"/>
    <w:rsid w:val="009C7FF4"/>
    <w:rsid w:val="00A606E4"/>
    <w:rsid w:val="00BD13AD"/>
    <w:rsid w:val="00DF2219"/>
    <w:rsid w:val="00F53AB8"/>
    <w:rsid w:val="3D1D3EA7"/>
    <w:rsid w:val="532F7C15"/>
    <w:rsid w:val="53FA4051"/>
    <w:rsid w:val="7FC4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font21"/>
    <w:basedOn w:val="2"/>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182</Words>
  <Characters>1039</Characters>
  <Lines>8</Lines>
  <Paragraphs>2</Paragraphs>
  <ScaleCrop>false</ScaleCrop>
  <LinksUpToDate>false</LinksUpToDate>
  <CharactersWithSpaces>1219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2016-06-02T02:52:00Z</dcterms:created>
  <dc:creator>Administrator</dc:creator>
  <cp:lastModifiedBy>Administrator</cp:lastModifiedBy>
  <cp:lastPrinted>2016-06-02T03:04:00Z</cp:lastPrinted>
  <dcterms:modified xsi:type="dcterms:W3CDTF">2017-12-05T06:57:19Z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