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华文中宋" w:hAnsi="华文中宋" w:eastAsia="华文中宋" w:cs="华文中宋"/>
          <w:b/>
          <w:i w:val="0"/>
          <w:caps w:val="0"/>
          <w:color w:val="333333"/>
          <w:spacing w:val="8"/>
          <w:sz w:val="40"/>
          <w:szCs w:val="40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i w:val="0"/>
          <w:caps w:val="0"/>
          <w:color w:val="333333"/>
          <w:spacing w:val="8"/>
          <w:sz w:val="40"/>
          <w:szCs w:val="40"/>
          <w:shd w:val="clear" w:color="auto" w:fill="FFFFFF"/>
        </w:rPr>
        <w:t>202</w:t>
      </w:r>
      <w:r>
        <w:rPr>
          <w:rFonts w:hint="eastAsia" w:ascii="华文中宋" w:hAnsi="华文中宋" w:eastAsia="华文中宋" w:cs="华文中宋"/>
          <w:b/>
          <w:i w:val="0"/>
          <w:caps w:val="0"/>
          <w:color w:val="333333"/>
          <w:spacing w:val="8"/>
          <w:sz w:val="40"/>
          <w:szCs w:val="40"/>
          <w:shd w:val="clear" w:color="auto" w:fill="FFFFFF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b/>
          <w:i w:val="0"/>
          <w:caps w:val="0"/>
          <w:color w:val="333333"/>
          <w:spacing w:val="8"/>
          <w:sz w:val="40"/>
          <w:szCs w:val="40"/>
          <w:shd w:val="clear" w:color="auto" w:fill="FFFFFF"/>
        </w:rPr>
        <w:t>年</w:t>
      </w:r>
      <w:r>
        <w:rPr>
          <w:rFonts w:hint="eastAsia" w:ascii="华文中宋" w:hAnsi="华文中宋" w:eastAsia="华文中宋" w:cs="华文中宋"/>
          <w:b/>
          <w:i w:val="0"/>
          <w:caps w:val="0"/>
          <w:color w:val="333333"/>
          <w:spacing w:val="8"/>
          <w:sz w:val="40"/>
          <w:szCs w:val="40"/>
          <w:shd w:val="clear" w:color="auto" w:fill="FFFFFF"/>
          <w:lang w:val="en-US" w:eastAsia="zh-CN"/>
        </w:rPr>
        <w:t>下半年</w:t>
      </w:r>
      <w:r>
        <w:rPr>
          <w:rFonts w:hint="eastAsia" w:ascii="华文中宋" w:hAnsi="华文中宋" w:eastAsia="华文中宋" w:cs="华文中宋"/>
          <w:b/>
          <w:i w:val="0"/>
          <w:caps w:val="0"/>
          <w:color w:val="333333"/>
          <w:spacing w:val="8"/>
          <w:sz w:val="40"/>
          <w:szCs w:val="40"/>
          <w:shd w:val="clear" w:color="auto" w:fill="FFFFFF"/>
        </w:rPr>
        <w:t>全国大学英语四、六级考试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Microsoft YaHei UI" w:hAnsi="Microsoft YaHei UI" w:eastAsia="华文中宋" w:cs="Microsoft YaHei UI"/>
          <w:b/>
          <w:i w:val="0"/>
          <w:caps w:val="0"/>
          <w:color w:val="333333"/>
          <w:spacing w:val="8"/>
          <w:sz w:val="40"/>
          <w:szCs w:val="40"/>
          <w:lang w:eastAsia="zh-CN"/>
        </w:rPr>
      </w:pPr>
      <w:r>
        <w:rPr>
          <w:rFonts w:hint="eastAsia" w:ascii="华文中宋" w:hAnsi="华文中宋" w:eastAsia="华文中宋" w:cs="华文中宋"/>
          <w:b/>
          <w:i w:val="0"/>
          <w:caps w:val="0"/>
          <w:color w:val="333333"/>
          <w:spacing w:val="8"/>
          <w:sz w:val="40"/>
          <w:szCs w:val="40"/>
          <w:shd w:val="clear" w:color="auto" w:fill="FFFFFF"/>
          <w:lang w:eastAsia="zh-CN"/>
        </w:rPr>
        <w:t>（</w:t>
      </w:r>
      <w:r>
        <w:rPr>
          <w:rFonts w:hint="eastAsia" w:ascii="华文中宋" w:hAnsi="华文中宋" w:eastAsia="华文中宋" w:cs="华文中宋"/>
          <w:b/>
          <w:i w:val="0"/>
          <w:caps w:val="0"/>
          <w:color w:val="333333"/>
          <w:spacing w:val="8"/>
          <w:sz w:val="40"/>
          <w:szCs w:val="40"/>
          <w:shd w:val="clear" w:color="auto" w:fill="FFFFFF"/>
          <w:lang w:val="en-US" w:eastAsia="zh-CN"/>
        </w:rPr>
        <w:t>湖北考区</w:t>
      </w:r>
      <w:r>
        <w:rPr>
          <w:rFonts w:hint="eastAsia" w:ascii="华文中宋" w:hAnsi="华文中宋" w:eastAsia="华文中宋" w:cs="华文中宋"/>
          <w:b/>
          <w:i w:val="0"/>
          <w:caps w:val="0"/>
          <w:color w:val="333333"/>
          <w:spacing w:val="8"/>
          <w:sz w:val="40"/>
          <w:szCs w:val="40"/>
          <w:shd w:val="clear" w:color="auto" w:fill="FFFFFF"/>
          <w:lang w:eastAsia="zh-CN"/>
        </w:rPr>
        <w:t>）</w:t>
      </w:r>
      <w:r>
        <w:rPr>
          <w:rFonts w:hint="eastAsia" w:ascii="华文中宋" w:hAnsi="华文中宋" w:eastAsia="华文中宋" w:cs="华文中宋"/>
          <w:b/>
          <w:i w:val="0"/>
          <w:caps w:val="0"/>
          <w:color w:val="333333"/>
          <w:spacing w:val="8"/>
          <w:sz w:val="40"/>
          <w:szCs w:val="40"/>
          <w:shd w:val="clear" w:color="auto" w:fill="FFFFFF"/>
          <w:lang w:val="en-US" w:eastAsia="zh-CN"/>
        </w:rPr>
        <w:t>笔试考生防疫须知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55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55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2021年下半年全国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大学英语四、六级考试（湖北考区）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考试笔试将于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日举行。为切实保障广大考生和工作人员的生命安全和身体健康，确保我省2021年下半年全国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大学英语四、六级考试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笔试安全平稳顺利进行，现将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疫情防控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有关事项告知如下：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做好健康状况监测。从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考前第14天开始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,考生需做好每日体温测量、记录并进行健康状况监测，体温测量记录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按要求如实填写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2021年下半年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CET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健康情况记录表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（见附件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出现身体异常情况的，要及时报告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所在高校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。在考试当天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考生进入考场时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须将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2021年下半年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CET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健康情况记录表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交监考人员。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对考前考生身体状况异常和监测发现身体状况异常的，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考生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须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主动报告所在考点，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由考点依据本地防疫工作要求,结合卫生健康部门、疾控机构和医疗机构意见，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bidi="ar"/>
        </w:rPr>
        <w:t>在保障广大考生和考试工作人员生命安全和身体健康前提下，综合研判评估是否具备正常参加考试的条件，凡不具备的，考生不得与健康考生同考场考试。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如考生为新冠肺炎确诊病例、无症状感染者、疑似患者、确诊病例密切接触者，</w:t>
      </w:r>
      <w:bookmarkStart w:id="0" w:name="_Hlk42286955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不得参加本次考试。治愈未超过14天的病例、不能排除感染可能的发热患者，考点须依据本地防疫工作要求,结合卫生健康部门、疾控机构和医疗机构意见，在保障广大考生和考试工作人员生命安全和身体健康前提下，综合研判其是否可以正常参加考试。</w:t>
      </w:r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55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考生在考前14天和考试期间避免参加聚会、聚餐等聚集性活动，减少进入人员密集的公共场所，乘坐公共交通工具时要做好个人防护。凡筛查发现考前14天内有境外或非低风险地区活动轨迹的，按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考点当地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有关疫情防控规定进行处理。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14天内有省外旅居史或本省非低风险地区活动轨迹的考生，须持考点所在地48小时内核酸检测阴性证明方可正常考试。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考试当天，考生适当提前到达考点，并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佩戴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口罩做好个人防护工作。进入考点时要保持安全距离，自觉出示健康码和行程码，接受体温检测。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考生体温低于37.3℃且健康、行程证明符合考点规定方可进入考点。第一次测量体温不合格的，可适当休息后使用其他设备或其他方式再次测量。对于两次测量体温不合格或健康和行程证明不符合规定的，考点须依据本地防疫工作要求结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卫生健康部门、疾控机构和医疗机构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意见，在保障广大考生和考试工作人员生命安全和身体健康前提下，综合研判评估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bidi="ar"/>
        </w:rPr>
        <w:t>是否具备正常参加考试的条件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，凡不具备相关条件的，考生须在隔离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考场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完成考试。</w:t>
      </w:r>
    </w:p>
    <w:p>
      <w:pPr>
        <w:tabs>
          <w:tab w:val="left" w:pos="7056"/>
          <w:tab w:val="left" w:pos="7980"/>
        </w:tabs>
        <w:bidi w:val="0"/>
        <w:ind w:firstLine="672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8"/>
          <w:sz w:val="32"/>
          <w:szCs w:val="32"/>
          <w:shd w:val="clear" w:color="auto" w:fill="FFFFFF"/>
        </w:rPr>
        <w:t>.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考生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8"/>
          <w:sz w:val="32"/>
          <w:szCs w:val="32"/>
          <w:shd w:val="clear" w:color="auto" w:fill="FFFFFF"/>
        </w:rPr>
        <w:t>进入考场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进行身份核验时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须摘下口罩，不得因为佩戴口罩影响身份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识别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。考生进入考场后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自行决定是否佩戴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8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隔离考场的考生要全程佩戴口罩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7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8"/>
          <w:sz w:val="32"/>
          <w:szCs w:val="32"/>
          <w:shd w:val="clear" w:color="auto" w:fill="FFFFFF"/>
        </w:rPr>
        <w:t>考试结束后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8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考生须佩戴口罩，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8"/>
          <w:sz w:val="32"/>
          <w:szCs w:val="32"/>
          <w:shd w:val="clear" w:color="auto" w:fill="FFFFFF"/>
        </w:rPr>
        <w:t>按监考员的指令有序疏散，不得拥挤，保持人员间距，严禁聚集和逗留。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7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8"/>
          <w:sz w:val="32"/>
          <w:szCs w:val="32"/>
          <w:shd w:val="clear" w:color="auto" w:fill="FFFFFF"/>
        </w:rPr>
        <w:t>.考生在考试前应认真阅读本须知，承诺已知悉该须知，并自愿承担相关责任。凡隐瞒或谎报旅居史、接触史、健康状况等疫情防控重点信息，不配合工作人员进行防疫检测、询问、排查、送诊等造成严重后果的，按照疫情防控相关规定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7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8"/>
          <w:sz w:val="32"/>
          <w:szCs w:val="32"/>
          <w:shd w:val="clear" w:color="auto" w:fill="FFFFFF"/>
          <w:lang w:val="en-US" w:eastAsia="zh-CN"/>
        </w:rPr>
        <w:t>7.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8"/>
          <w:sz w:val="32"/>
          <w:szCs w:val="32"/>
          <w:shd w:val="clear" w:color="auto" w:fill="FFFFFF"/>
        </w:rPr>
        <w:t>请考生严格遵守考场纪律，诚信应考。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55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8"/>
          <w:sz w:val="32"/>
          <w:szCs w:val="32"/>
          <w:shd w:val="clear" w:color="auto" w:fill="FFFFFF"/>
        </w:rPr>
        <w:t>感谢广大考生支持和理解，预祝取得优异成绩。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7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8"/>
          <w:sz w:val="32"/>
          <w:szCs w:val="32"/>
          <w:shd w:val="clear" w:color="auto" w:fill="FFFFFF"/>
        </w:rPr>
        <w:t>附件：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2021年下半年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CET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健康情况记录表</w:t>
      </w:r>
    </w:p>
    <w:p>
      <w:pPr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spacing w:line="600" w:lineRule="exact"/>
        <w:rPr>
          <w:rFonts w:hint="eastAsia" w:ascii="仿宋_GB2312" w:hAnsi="宋体" w:eastAsia="仿宋_GB2312"/>
          <w:color w:val="auto"/>
          <w:sz w:val="32"/>
          <w:szCs w:val="32"/>
        </w:rPr>
      </w:pPr>
    </w:p>
    <w:p>
      <w:pPr>
        <w:spacing w:line="600" w:lineRule="exac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 xml:space="preserve">附件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中宋" w:hAnsi="华文中宋" w:eastAsia="华文中宋" w:cs="华文中宋"/>
          <w:b/>
          <w:color w:val="auto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color w:val="auto"/>
          <w:sz w:val="32"/>
          <w:szCs w:val="32"/>
        </w:rPr>
        <w:t>2021年下半年</w:t>
      </w:r>
      <w:r>
        <w:rPr>
          <w:rFonts w:hint="eastAsia" w:ascii="华文中宋" w:hAnsi="华文中宋" w:eastAsia="华文中宋" w:cs="华文中宋"/>
          <w:b/>
          <w:color w:val="auto"/>
          <w:sz w:val="32"/>
          <w:szCs w:val="32"/>
          <w:lang w:val="en-US" w:eastAsia="zh-CN"/>
        </w:rPr>
        <w:t>CET</w:t>
      </w:r>
      <w:r>
        <w:rPr>
          <w:rFonts w:hint="eastAsia" w:ascii="华文中宋" w:hAnsi="华文中宋" w:eastAsia="华文中宋" w:cs="华文中宋"/>
          <w:b/>
          <w:color w:val="auto"/>
          <w:sz w:val="32"/>
          <w:szCs w:val="32"/>
        </w:rPr>
        <w:t>健康情况记录表</w:t>
      </w:r>
    </w:p>
    <w:tbl>
      <w:tblPr>
        <w:tblStyle w:val="5"/>
        <w:tblW w:w="494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646"/>
        <w:gridCol w:w="545"/>
        <w:gridCol w:w="1007"/>
        <w:gridCol w:w="1214"/>
        <w:gridCol w:w="956"/>
        <w:gridCol w:w="610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023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92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语种级别</w:t>
            </w:r>
          </w:p>
        </w:tc>
        <w:tc>
          <w:tcPr>
            <w:tcW w:w="125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8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考场号</w:t>
            </w:r>
          </w:p>
        </w:tc>
        <w:tc>
          <w:tcPr>
            <w:tcW w:w="706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597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座位号</w:t>
            </w:r>
          </w:p>
        </w:tc>
        <w:tc>
          <w:tcPr>
            <w:tcW w:w="719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92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258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</w:rPr>
              <w:t>近期健康状况记录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记录日期</w:t>
            </w:r>
          </w:p>
        </w:tc>
        <w:tc>
          <w:tcPr>
            <w:tcW w:w="220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健康状况及体温监测</w:t>
            </w:r>
          </w:p>
        </w:tc>
        <w:tc>
          <w:tcPr>
            <w:tcW w:w="162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其他情况说明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7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12月4日</w:t>
            </w:r>
          </w:p>
        </w:tc>
        <w:tc>
          <w:tcPr>
            <w:tcW w:w="220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12月5日</w:t>
            </w:r>
          </w:p>
        </w:tc>
        <w:tc>
          <w:tcPr>
            <w:tcW w:w="220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19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12月6日</w:t>
            </w:r>
          </w:p>
        </w:tc>
        <w:tc>
          <w:tcPr>
            <w:tcW w:w="220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12月7日</w:t>
            </w:r>
          </w:p>
        </w:tc>
        <w:tc>
          <w:tcPr>
            <w:tcW w:w="220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12月8日</w:t>
            </w:r>
          </w:p>
        </w:tc>
        <w:tc>
          <w:tcPr>
            <w:tcW w:w="220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12月9日</w:t>
            </w:r>
          </w:p>
        </w:tc>
        <w:tc>
          <w:tcPr>
            <w:tcW w:w="220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12月10日</w:t>
            </w:r>
          </w:p>
        </w:tc>
        <w:tc>
          <w:tcPr>
            <w:tcW w:w="220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12月11日</w:t>
            </w:r>
          </w:p>
        </w:tc>
        <w:tc>
          <w:tcPr>
            <w:tcW w:w="220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12月12日</w:t>
            </w:r>
          </w:p>
        </w:tc>
        <w:tc>
          <w:tcPr>
            <w:tcW w:w="220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12月13日</w:t>
            </w:r>
          </w:p>
        </w:tc>
        <w:tc>
          <w:tcPr>
            <w:tcW w:w="220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12月14日</w:t>
            </w:r>
          </w:p>
        </w:tc>
        <w:tc>
          <w:tcPr>
            <w:tcW w:w="220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12月15日</w:t>
            </w:r>
          </w:p>
        </w:tc>
        <w:tc>
          <w:tcPr>
            <w:tcW w:w="220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12月16日</w:t>
            </w:r>
          </w:p>
        </w:tc>
        <w:tc>
          <w:tcPr>
            <w:tcW w:w="220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7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12月17日</w:t>
            </w:r>
          </w:p>
        </w:tc>
        <w:tc>
          <w:tcPr>
            <w:tcW w:w="2207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</w:trPr>
        <w:tc>
          <w:tcPr>
            <w:tcW w:w="5000" w:type="pct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ascii="楷体" w:hAnsi="楷体" w:eastAsia="楷体" w:cs="宋体"/>
                <w:b/>
                <w:color w:val="auto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color w:val="auto"/>
                <w:sz w:val="32"/>
                <w:szCs w:val="32"/>
              </w:rPr>
              <w:t>健康情况声明书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本人已知晓并理解、遵守全国大学英语四、六级考试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笔试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关于考生个人健康要求和新冠肺炎疫情防控相关管理规定，并做如下声明：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本人不属于疫情防控要求14天强制隔离期、医学观察期或自我隔离期内的人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员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本人在考前14天内如实填写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2021年下半年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CET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健康情况记录表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，体温和个人健康情况均正常。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考试过程中如出现咳嗽、发热等身体不适情况，我愿遵守考试工作人员安排到指定区域考试或自行放弃考试。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本人保证以上声明信息真实、准确、完整，并知悉我将承担瞒报的法律后果及责任。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40" w:firstLineChars="13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声明人（签字）：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center"/>
              <w:textAlignment w:val="auto"/>
              <w:rPr>
                <w:rFonts w:ascii="楷体" w:hAnsi="楷体" w:eastAsia="楷体" w:cs="宋体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2021年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月  日</w:t>
            </w:r>
          </w:p>
        </w:tc>
      </w:tr>
    </w:tbl>
    <w:p>
      <w:pPr>
        <w:jc w:val="left"/>
      </w:pPr>
      <w:r>
        <w:rPr>
          <w:rFonts w:hint="eastAsia" w:ascii="仿宋" w:hAnsi="仿宋" w:eastAsia="仿宋"/>
          <w:sz w:val="28"/>
          <w:szCs w:val="28"/>
        </w:rPr>
        <w:t>注：考试当天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考生</w:t>
      </w:r>
      <w:r>
        <w:rPr>
          <w:rFonts w:hint="eastAsia" w:ascii="仿宋" w:hAnsi="仿宋" w:eastAsia="仿宋"/>
          <w:sz w:val="28"/>
          <w:szCs w:val="28"/>
        </w:rPr>
        <w:t>入场检查时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须</w:t>
      </w:r>
      <w:r>
        <w:rPr>
          <w:rFonts w:hint="eastAsia" w:ascii="仿宋" w:hAnsi="仿宋" w:eastAsia="仿宋"/>
          <w:sz w:val="28"/>
          <w:szCs w:val="28"/>
        </w:rPr>
        <w:t>上交此表。</w:t>
      </w:r>
      <w:bookmarkStart w:id="1" w:name="_GoBack"/>
      <w:bookmarkEnd w:id="1"/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835B1"/>
    <w:rsid w:val="2D11774A"/>
    <w:rsid w:val="6A5E452A"/>
    <w:rsid w:val="7B4C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2021-09-25T08:40:00Z</dcterms:created>
  <dc:creator>lenovo</dc:creator>
  <cp:lastModifiedBy>ERE</cp:lastModifiedBy>
  <dcterms:modified xsi:type="dcterms:W3CDTF">2021-11-29T07:54:28Z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83E6E1C50FCB4BE6853AD13CA0649F8E</vt:lpwstr>
  </property>
</Properties>
</file>